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11392">
      <w:p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中色奥博特中央生态环境保护督察</w:t>
      </w:r>
    </w:p>
    <w:p w14:paraId="4615239D">
      <w:p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反馈问题整改完成情况</w:t>
      </w:r>
    </w:p>
    <w:p w14:paraId="295E85DF">
      <w:pPr>
        <w:spacing w:line="560" w:lineRule="exact"/>
        <w:jc w:val="center"/>
        <w:outlineLvl w:val="9"/>
        <w:rPr>
          <w:rFonts w:hint="eastAsia" w:ascii="仿宋" w:hAnsi="仿宋" w:eastAsia="仿宋" w:cs="仿宋"/>
          <w:sz w:val="32"/>
        </w:rPr>
      </w:pPr>
    </w:p>
    <w:p w14:paraId="193247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铜箔产品能耗相关问题</w:t>
      </w:r>
    </w:p>
    <w:p w14:paraId="32E14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督察反馈问题：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中色奥博特的铜加工综合能耗高于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行业限值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。</w:t>
      </w:r>
    </w:p>
    <w:p w14:paraId="0E8B6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整改责任单位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：中色奥博特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（中色正锐）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34C72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整改完成情况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：已完成整改。</w:t>
      </w:r>
    </w:p>
    <w:p w14:paraId="6AE29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bookmarkStart w:id="0" w:name="OLE_LINK1"/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自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2021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年开始，中色奥博特（中色正锐）</w:t>
      </w:r>
      <w:r>
        <w:rPr>
          <w:rFonts w:hint="eastAsia" w:ascii="仿宋" w:hAnsi="仿宋" w:eastAsia="仿宋" w:cs="仿宋"/>
          <w:bCs/>
          <w:sz w:val="32"/>
          <w:szCs w:val="32"/>
        </w:rPr>
        <w:t>通过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优化</w:t>
      </w:r>
      <w:r>
        <w:rPr>
          <w:rFonts w:hint="eastAsia" w:ascii="仿宋" w:hAnsi="仿宋" w:eastAsia="仿宋" w:cs="仿宋"/>
          <w:bCs/>
          <w:sz w:val="32"/>
          <w:szCs w:val="32"/>
        </w:rPr>
        <w:t>铜箔生产工艺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提高了铜箔</w:t>
      </w:r>
      <w:r>
        <w:rPr>
          <w:rFonts w:hint="eastAsia" w:ascii="仿宋" w:hAnsi="仿宋" w:eastAsia="仿宋" w:cs="仿宋"/>
          <w:bCs/>
          <w:sz w:val="32"/>
          <w:szCs w:val="32"/>
        </w:rPr>
        <w:t>产品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生产效率及</w:t>
      </w:r>
      <w:r>
        <w:rPr>
          <w:rFonts w:hint="eastAsia" w:ascii="仿宋" w:hAnsi="仿宋" w:eastAsia="仿宋" w:cs="仿宋"/>
          <w:bCs/>
          <w:sz w:val="32"/>
          <w:szCs w:val="32"/>
        </w:rPr>
        <w:t>成品率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采取了新建回收</w:t>
      </w:r>
      <w:r>
        <w:rPr>
          <w:rFonts w:hint="eastAsia" w:ascii="仿宋" w:hAnsi="仿宋" w:eastAsia="仿宋" w:cs="仿宋"/>
          <w:bCs/>
          <w:sz w:val="32"/>
          <w:szCs w:val="32"/>
        </w:rPr>
        <w:t>余热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装置，改造</w:t>
      </w:r>
      <w:r>
        <w:rPr>
          <w:rFonts w:hint="eastAsia" w:ascii="仿宋" w:hAnsi="仿宋" w:eastAsia="仿宋" w:cs="仿宋"/>
          <w:bCs/>
          <w:sz w:val="32"/>
          <w:szCs w:val="32"/>
        </w:rPr>
        <w:t>高低压无功补偿、反渗透高压泵、中央空调、制气系统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等设施，更新</w:t>
      </w:r>
      <w:r>
        <w:rPr>
          <w:rFonts w:hint="eastAsia" w:ascii="仿宋" w:hAnsi="仿宋" w:eastAsia="仿宋" w:cs="仿宋"/>
          <w:bCs/>
          <w:sz w:val="32"/>
          <w:szCs w:val="32"/>
        </w:rPr>
        <w:t>高耗能落后机电设备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bCs/>
          <w:sz w:val="32"/>
          <w:szCs w:val="32"/>
        </w:rPr>
        <w:t>照明灯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具等措施，降低了能耗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。</w:t>
      </w:r>
    </w:p>
    <w:p w14:paraId="0A188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2023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年、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年中色正锐</w:t>
      </w:r>
      <w:r>
        <w:rPr>
          <w:rFonts w:hint="eastAsia" w:ascii="仿宋" w:hAnsi="仿宋" w:eastAsia="仿宋" w:cs="仿宋"/>
          <w:bCs/>
          <w:sz w:val="32"/>
          <w:szCs w:val="32"/>
        </w:rPr>
        <w:t>铜箔产品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厚度小于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06mm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Cs/>
          <w:sz w:val="32"/>
          <w:szCs w:val="32"/>
        </w:rPr>
        <w:t>综合能耗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分别为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643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kgce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t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567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kgce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t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优于整改方案要求的</w:t>
      </w:r>
      <w:r>
        <w:rPr>
          <w:rFonts w:hint="eastAsia" w:ascii="Times New Roman" w:hAnsi="Times New Roman" w:cs="仿宋"/>
          <w:bCs/>
          <w:sz w:val="32"/>
          <w:szCs w:val="32"/>
          <w:lang w:eastAsia="zh-CN"/>
        </w:rPr>
        <w:t>650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kgce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t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</w:rPr>
        <w:t>达到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原</w:t>
      </w:r>
      <w:r>
        <w:rPr>
          <w:rFonts w:hint="eastAsia" w:ascii="仿宋" w:hAnsi="仿宋" w:eastAsia="仿宋" w:cs="仿宋"/>
          <w:bCs/>
          <w:sz w:val="32"/>
          <w:szCs w:val="32"/>
        </w:rPr>
        <w:t>《铜及铜合金板带箔材单位产品能源消耗限额》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GB</w:t>
      </w:r>
      <w:r>
        <w:rPr>
          <w:rFonts w:hint="eastAsia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29442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2012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Cs/>
          <w:sz w:val="32"/>
          <w:szCs w:val="32"/>
        </w:rPr>
        <w:t>标准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限定值</w:t>
      </w:r>
      <w:r>
        <w:rPr>
          <w:rFonts w:hint="eastAsia" w:ascii="Times New Roman" w:hAnsi="Times New Roman" w:cs="仿宋"/>
          <w:bCs/>
          <w:sz w:val="32"/>
          <w:szCs w:val="32"/>
          <w:lang w:eastAsia="zh-CN"/>
        </w:rPr>
        <w:t>6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75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kgce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t</w:t>
      </w:r>
      <w:r>
        <w:rPr>
          <w:rFonts w:hint="eastAsia" w:ascii="仿宋" w:hAnsi="仿宋" w:eastAsia="仿宋" w:cs="仿宋"/>
          <w:bCs/>
          <w:sz w:val="32"/>
          <w:szCs w:val="32"/>
        </w:rPr>
        <w:t>要求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新标准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《铜及铜合金加工材单位产品能源消耗限额》（</w:t>
      </w:r>
      <w:r>
        <w:rPr>
          <w:rFonts w:hint="eastAsia" w:ascii="Times New Roman" w:hAnsi="Times New Roman" w:cs="仿宋"/>
          <w:bCs/>
          <w:sz w:val="32"/>
          <w:szCs w:val="32"/>
          <w:lang w:eastAsia="zh-CN"/>
        </w:rPr>
        <w:t>GB21350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-</w:t>
      </w:r>
      <w:r>
        <w:rPr>
          <w:rFonts w:hint="eastAsia" w:ascii="Times New Roman" w:hAnsi="Times New Roman" w:cs="仿宋"/>
          <w:bCs/>
          <w:sz w:val="32"/>
          <w:szCs w:val="32"/>
          <w:lang w:eastAsia="zh-CN"/>
        </w:rPr>
        <w:t>2023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中对厚度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cs="仿宋"/>
          <w:bCs/>
          <w:sz w:val="32"/>
          <w:szCs w:val="32"/>
          <w:lang w:val="en-US" w:eastAsia="zh-CN"/>
        </w:rPr>
        <w:t>06mm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以下的铜箔产品未做能源消耗限额要求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。</w:t>
      </w:r>
      <w:bookmarkEnd w:id="0"/>
    </w:p>
    <w:p w14:paraId="3A668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681D3E-C99C-4014-9CED-9F27DEA52D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8CC1109-7558-4B2B-A0AE-36C923E3FC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0D35227-A0EA-440E-88AD-9E1AF79DFB2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5A82BD9-4FA3-428B-B7A5-5CF66D1D2B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ABFFB"/>
    <w:multiLevelType w:val="singleLevel"/>
    <w:tmpl w:val="5CBABFFB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A5EC9"/>
    <w:rsid w:val="15767345"/>
    <w:rsid w:val="15FA5EC9"/>
    <w:rsid w:val="1D8B2357"/>
    <w:rsid w:val="1F6F7687"/>
    <w:rsid w:val="26955FF5"/>
    <w:rsid w:val="3DD5FC39"/>
    <w:rsid w:val="3E9F580B"/>
    <w:rsid w:val="3FDA9C61"/>
    <w:rsid w:val="483E7E42"/>
    <w:rsid w:val="4D5D0D6B"/>
    <w:rsid w:val="4D9F770B"/>
    <w:rsid w:val="507F724A"/>
    <w:rsid w:val="565C42B5"/>
    <w:rsid w:val="5EA06D09"/>
    <w:rsid w:val="61357BDD"/>
    <w:rsid w:val="6B3C7DBA"/>
    <w:rsid w:val="7BFDD018"/>
    <w:rsid w:val="7CDDCE68"/>
    <w:rsid w:val="7DCF6E48"/>
    <w:rsid w:val="9DF4859F"/>
    <w:rsid w:val="B2FE00BE"/>
    <w:rsid w:val="BAAF4AB4"/>
    <w:rsid w:val="CFCDCC34"/>
    <w:rsid w:val="DFFF0B1C"/>
    <w:rsid w:val="EBEBE7D9"/>
    <w:rsid w:val="EEEF60E8"/>
    <w:rsid w:val="EFFFC7A7"/>
    <w:rsid w:val="FCFF12B6"/>
    <w:rsid w:val="FF57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458</Characters>
  <Lines>0</Lines>
  <Paragraphs>0</Paragraphs>
  <TotalTime>0</TotalTime>
  <ScaleCrop>false</ScaleCrop>
  <LinksUpToDate>false</LinksUpToDate>
  <CharactersWithSpaces>464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2026-02-04T14:31:00Z</dcterms:created>
  <dc:creator>dongp</dc:creator>
  <cp:lastModifiedBy>王远锋</cp:lastModifiedBy>
  <dcterms:modified xsi:type="dcterms:W3CDTF">2026-09-20T06:01:52Z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7F56A1792E9340A2BBD111CD26D6FF0F_11</vt:lpwstr>
  </property>
  <property fmtid="{D5CDD505-2E9C-101B-9397-08002B2CF9AE}" pid="4" name="KSOTemplateDocerSaveRecord">
    <vt:lpwstr>eyJoZGlkIjoiYzRkYzJhNTFkNjhlNjk5ZWFkMDlhM2I4M2E3MDg4NzciLCJ1c2VySWQiOiIxNjE5OTg0NTMzIn0=</vt:lpwstr>
  </property>
</Properties>
</file>